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41829" w14:textId="77777777" w:rsidR="00F4351C" w:rsidRDefault="00F4351C" w:rsidP="00F4351C">
      <w:pPr>
        <w:spacing w:after="0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RESOLUTION 19-06</w:t>
      </w:r>
    </w:p>
    <w:p w14:paraId="017F9672" w14:textId="77777777" w:rsidR="00F4351C" w:rsidRDefault="00F4351C" w:rsidP="00F4351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“BRIDGE REINSPECTION PROGRAM RESOULUTION FOR USE WITH SDDOT RETAINER CONTRACTS”</w:t>
      </w:r>
    </w:p>
    <w:bookmarkEnd w:id="0"/>
    <w:p w14:paraId="16BB33B6" w14:textId="77777777" w:rsidR="00F4351C" w:rsidRDefault="00F4351C" w:rsidP="00F435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WHEREAS, Title 23, Section 151, </w:t>
      </w:r>
      <w:r w:rsidRPr="00F733CC">
        <w:rPr>
          <w:i/>
          <w:sz w:val="24"/>
          <w:szCs w:val="24"/>
        </w:rPr>
        <w:t>United States Code</w:t>
      </w:r>
      <w:r>
        <w:rPr>
          <w:sz w:val="24"/>
          <w:szCs w:val="24"/>
        </w:rPr>
        <w:t xml:space="preserve"> and Title 23, Part 650, Subpart C, </w:t>
      </w:r>
      <w:r w:rsidRPr="00F733CC">
        <w:rPr>
          <w:i/>
          <w:sz w:val="24"/>
          <w:szCs w:val="24"/>
        </w:rPr>
        <w:t>Code of Federal Regulations</w:t>
      </w:r>
      <w:r>
        <w:rPr>
          <w:sz w:val="24"/>
          <w:szCs w:val="24"/>
        </w:rPr>
        <w:t xml:space="preserve">, requires initial inspection of all bridges and reinspection at intervals not to exceed two year with the exception of reinforced concrete box culverts that meet specific criteria. These culverts are </w:t>
      </w:r>
      <w:proofErr w:type="spellStart"/>
      <w:r>
        <w:rPr>
          <w:sz w:val="24"/>
          <w:szCs w:val="24"/>
        </w:rPr>
        <w:t>reinspected</w:t>
      </w:r>
      <w:proofErr w:type="spellEnd"/>
      <w:r>
        <w:rPr>
          <w:sz w:val="24"/>
          <w:szCs w:val="24"/>
        </w:rPr>
        <w:t xml:space="preserve"> at intervals not to exceed four years.</w:t>
      </w:r>
    </w:p>
    <w:p w14:paraId="26BB8B9C" w14:textId="77777777" w:rsidR="00F4351C" w:rsidRDefault="00F4351C" w:rsidP="00F4351C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THEREFORE, McPherson County is desirous of participating in the Bridge Inspection Program using Bridge Replacement funds.</w:t>
      </w:r>
    </w:p>
    <w:p w14:paraId="03E7B163" w14:textId="77777777" w:rsidR="00F4351C" w:rsidRDefault="00F4351C" w:rsidP="00F435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County requests SDDOT to hire Clark Engineering (Consulting Engineers) for the inspection work. SDDOT will secure federal approvals, make </w:t>
      </w:r>
      <w:proofErr w:type="spellStart"/>
      <w:r>
        <w:rPr>
          <w:sz w:val="24"/>
          <w:szCs w:val="24"/>
        </w:rPr>
        <w:t>paymets</w:t>
      </w:r>
      <w:proofErr w:type="spellEnd"/>
      <w:r>
        <w:rPr>
          <w:sz w:val="24"/>
          <w:szCs w:val="24"/>
        </w:rPr>
        <w:t xml:space="preserve"> to the Consulting </w:t>
      </w:r>
      <w:proofErr w:type="spellStart"/>
      <w:r>
        <w:rPr>
          <w:sz w:val="24"/>
          <w:szCs w:val="24"/>
        </w:rPr>
        <w:t>Engeneer</w:t>
      </w:r>
      <w:proofErr w:type="spellEnd"/>
      <w:r>
        <w:rPr>
          <w:sz w:val="24"/>
          <w:szCs w:val="24"/>
        </w:rPr>
        <w:t xml:space="preserve"> for inspection services rendered, and bill the County for 20% of the cost. The County will be responsible for the required 20% matching funds.</w:t>
      </w:r>
    </w:p>
    <w:p w14:paraId="6A8CC64B" w14:textId="77777777" w:rsidR="00F4351C" w:rsidRDefault="00F4351C" w:rsidP="00F4351C">
      <w:pPr>
        <w:spacing w:after="0"/>
        <w:rPr>
          <w:sz w:val="24"/>
          <w:szCs w:val="24"/>
        </w:rPr>
      </w:pPr>
    </w:p>
    <w:p w14:paraId="35A00A98" w14:textId="77777777" w:rsidR="00F4351C" w:rsidRDefault="00F4351C" w:rsidP="00F4351C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Dated this 7</w:t>
      </w:r>
      <w:r w:rsidRPr="00F733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May, 2019 at Leola, South Dakota.</w:t>
      </w:r>
    </w:p>
    <w:p w14:paraId="57C33532" w14:textId="77777777" w:rsidR="00F4351C" w:rsidRDefault="00F4351C" w:rsidP="00F4351C">
      <w:pPr>
        <w:spacing w:after="0"/>
        <w:rPr>
          <w:sz w:val="24"/>
          <w:szCs w:val="24"/>
        </w:rPr>
      </w:pPr>
    </w:p>
    <w:p w14:paraId="76DCA00B" w14:textId="77777777" w:rsidR="00F4351C" w:rsidRDefault="00F4351C" w:rsidP="00F4351C">
      <w:pPr>
        <w:spacing w:after="0"/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08F4C0E2" w14:textId="77777777" w:rsidR="00F4351C" w:rsidRDefault="00F4351C" w:rsidP="00F4351C">
      <w:pPr>
        <w:spacing w:after="0"/>
        <w:rPr>
          <w:sz w:val="24"/>
          <w:szCs w:val="24"/>
        </w:rPr>
      </w:pPr>
    </w:p>
    <w:p w14:paraId="30984D62" w14:textId="77777777" w:rsidR="00F4351C" w:rsidRPr="00F733CC" w:rsidRDefault="00F4351C" w:rsidP="00F4351C">
      <w:pPr>
        <w:spacing w:after="0"/>
        <w:rPr>
          <w:sz w:val="24"/>
          <w:szCs w:val="24"/>
        </w:rPr>
      </w:pPr>
      <w:r w:rsidRPr="00F733CC">
        <w:rPr>
          <w:sz w:val="24"/>
          <w:szCs w:val="24"/>
          <w:u w:val="single"/>
        </w:rPr>
        <w:t>Lindley Howard</w:t>
      </w:r>
      <w:r>
        <w:rPr>
          <w:sz w:val="24"/>
          <w:szCs w:val="24"/>
          <w:u w:val="single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33CC">
        <w:rPr>
          <w:sz w:val="24"/>
          <w:szCs w:val="24"/>
          <w:u w:val="single"/>
        </w:rPr>
        <w:t>Jeff Neuharth</w:t>
      </w:r>
      <w:r>
        <w:rPr>
          <w:sz w:val="24"/>
          <w:szCs w:val="24"/>
          <w:u w:val="single"/>
        </w:rPr>
        <w:t>______________________</w:t>
      </w:r>
    </w:p>
    <w:p w14:paraId="5DDD73AE" w14:textId="77777777" w:rsidR="00F4351C" w:rsidRDefault="00F4351C" w:rsidP="00F4351C">
      <w:pPr>
        <w:spacing w:after="0"/>
        <w:rPr>
          <w:sz w:val="24"/>
          <w:szCs w:val="24"/>
        </w:rPr>
      </w:pPr>
      <w:r>
        <w:rPr>
          <w:sz w:val="24"/>
          <w:szCs w:val="24"/>
        </w:rPr>
        <w:t>McPherson County Auditor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 of the Board of Commissioners</w:t>
      </w:r>
    </w:p>
    <w:p w14:paraId="13ABB434" w14:textId="77777777" w:rsidR="00F4351C" w:rsidRDefault="00F4351C" w:rsidP="00F4351C">
      <w:pPr>
        <w:spacing w:after="0"/>
        <w:rPr>
          <w:sz w:val="24"/>
          <w:szCs w:val="24"/>
        </w:rPr>
      </w:pPr>
    </w:p>
    <w:p w14:paraId="3D2CE823" w14:textId="77777777" w:rsidR="00F4351C" w:rsidRPr="00F733CC" w:rsidRDefault="00F4351C" w:rsidP="00F4351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Beilke</w:t>
      </w:r>
      <w:proofErr w:type="spellEnd"/>
      <w:r>
        <w:rPr>
          <w:sz w:val="24"/>
          <w:szCs w:val="24"/>
        </w:rPr>
        <w:t xml:space="preserve"> moved for the adoption of Resolution Number 19-06, Kunz seconded the foregoing motion. Upon roll call vote, thereon, all vote </w:t>
      </w:r>
    </w:p>
    <w:p w14:paraId="217BBB8C" w14:textId="77777777" w:rsidR="0072630A" w:rsidRDefault="00F4351C"/>
    <w:sectPr w:rsidR="0072630A" w:rsidSect="00593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1C"/>
    <w:rsid w:val="001078DD"/>
    <w:rsid w:val="005930A8"/>
    <w:rsid w:val="009A22CA"/>
    <w:rsid w:val="00A757FA"/>
    <w:rsid w:val="00CE67C8"/>
    <w:rsid w:val="00F4351C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2BBE7"/>
  <w15:chartTrackingRefBased/>
  <w15:docId w15:val="{D36F3AED-85AC-48A4-8B23-26A85B1A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 Auditor1</dc:creator>
  <cp:keywords/>
  <dc:description/>
  <cp:lastModifiedBy>McPherson Auditor1</cp:lastModifiedBy>
  <cp:revision>1</cp:revision>
  <dcterms:created xsi:type="dcterms:W3CDTF">2019-06-10T19:50:00Z</dcterms:created>
  <dcterms:modified xsi:type="dcterms:W3CDTF">2019-06-10T19:52:00Z</dcterms:modified>
</cp:coreProperties>
</file>