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BD" w:rsidRDefault="00BF4CBD" w:rsidP="00BF4CBD">
      <w:pPr>
        <w:spacing w:after="0"/>
        <w:jc w:val="center"/>
        <w:rPr>
          <w:b/>
          <w:sz w:val="24"/>
          <w:szCs w:val="24"/>
        </w:rPr>
      </w:pPr>
      <w:bookmarkStart w:id="0" w:name="_GoBack"/>
      <w:bookmarkEnd w:id="0"/>
      <w:r>
        <w:rPr>
          <w:b/>
          <w:sz w:val="24"/>
          <w:szCs w:val="24"/>
        </w:rPr>
        <w:t>RESOLUTION NUMBER 13-6</w:t>
      </w:r>
    </w:p>
    <w:p w:rsidR="00BF4CBD" w:rsidRDefault="00BF4CBD" w:rsidP="00BF4CBD">
      <w:pPr>
        <w:spacing w:after="0"/>
        <w:jc w:val="center"/>
        <w:rPr>
          <w:b/>
          <w:sz w:val="24"/>
          <w:szCs w:val="24"/>
        </w:rPr>
      </w:pPr>
      <w:r>
        <w:rPr>
          <w:b/>
          <w:sz w:val="24"/>
          <w:szCs w:val="24"/>
        </w:rPr>
        <w:t>“ESTABLISHING DRAINAGE APPLICATION FEES”</w:t>
      </w:r>
    </w:p>
    <w:p w:rsidR="00BF4CBD" w:rsidRDefault="00BF4CBD" w:rsidP="00BF4CBD">
      <w:pPr>
        <w:spacing w:after="0"/>
        <w:jc w:val="center"/>
        <w:rPr>
          <w:b/>
          <w:sz w:val="24"/>
          <w:szCs w:val="24"/>
        </w:rPr>
      </w:pPr>
    </w:p>
    <w:p w:rsidR="00BF4CBD" w:rsidRDefault="00BF4CBD" w:rsidP="00BF4CBD">
      <w:pPr>
        <w:rPr>
          <w:sz w:val="24"/>
          <w:szCs w:val="24"/>
        </w:rPr>
      </w:pPr>
      <w:r>
        <w:rPr>
          <w:sz w:val="24"/>
          <w:szCs w:val="24"/>
        </w:rPr>
        <w:t>WHEREAS, requests for drainage permit applications are steadily increasing; and</w:t>
      </w:r>
    </w:p>
    <w:p w:rsidR="00BF4CBD" w:rsidRDefault="00BF4CBD" w:rsidP="00BF4CBD">
      <w:pPr>
        <w:rPr>
          <w:sz w:val="24"/>
          <w:szCs w:val="24"/>
        </w:rPr>
      </w:pPr>
      <w:r>
        <w:rPr>
          <w:sz w:val="24"/>
          <w:szCs w:val="24"/>
        </w:rPr>
        <w:t xml:space="preserve">WHEREAS, there is an requirement that notice of said drainage permit applications be published to provide notice to the public so as to allow the public the right to comment on the application; and </w:t>
      </w:r>
    </w:p>
    <w:p w:rsidR="00BF4CBD" w:rsidRDefault="00BF4CBD" w:rsidP="00BF4CBD">
      <w:pPr>
        <w:rPr>
          <w:sz w:val="24"/>
          <w:szCs w:val="24"/>
        </w:rPr>
      </w:pPr>
      <w:r>
        <w:rPr>
          <w:sz w:val="24"/>
          <w:szCs w:val="24"/>
        </w:rPr>
        <w:t>WHEREAS, there is an inherent cost for the publication of said notice of drainage permit applications that is directly related to each respective application; and</w:t>
      </w:r>
    </w:p>
    <w:p w:rsidR="00BF4CBD" w:rsidRDefault="00BF4CBD" w:rsidP="00BF4CBD">
      <w:pPr>
        <w:rPr>
          <w:sz w:val="24"/>
          <w:szCs w:val="24"/>
        </w:rPr>
      </w:pPr>
      <w:r>
        <w:rPr>
          <w:sz w:val="24"/>
          <w:szCs w:val="24"/>
        </w:rPr>
        <w:t xml:space="preserve">WHEREAS,  the costs of publishing the notices associated with the drainage permit applications are exceeding the original fee that was established for said applications resulting in the need for the establishment of a new pricing schedule for drainage permit applications; </w:t>
      </w:r>
    </w:p>
    <w:p w:rsidR="00BF4CBD" w:rsidRDefault="00BF4CBD" w:rsidP="00BF4CBD">
      <w:pPr>
        <w:rPr>
          <w:sz w:val="24"/>
          <w:szCs w:val="24"/>
        </w:rPr>
      </w:pPr>
      <w:r>
        <w:rPr>
          <w:sz w:val="24"/>
          <w:szCs w:val="24"/>
        </w:rPr>
        <w:t xml:space="preserve">NOW THEREFORE BE IT BE RESOLVED that drainage permit applicants will be assessed a $100.00 application fee plus the actual cost of publication for two weeks of the notice associated with their respective application for a drainage permit; said permit application fee and advertising cost must be paid in full to the McPherson County Director of Equalization before drainage applications will be reviewed by the Board of Commissioners. </w:t>
      </w:r>
    </w:p>
    <w:p w:rsidR="00BF4CBD" w:rsidRDefault="00BF4CBD" w:rsidP="00BF4CBD">
      <w:pPr>
        <w:rPr>
          <w:sz w:val="24"/>
          <w:szCs w:val="24"/>
        </w:rPr>
      </w:pPr>
      <w:r>
        <w:rPr>
          <w:sz w:val="24"/>
          <w:szCs w:val="24"/>
        </w:rPr>
        <w:t>Dated this 2</w:t>
      </w:r>
      <w:r>
        <w:rPr>
          <w:sz w:val="24"/>
          <w:szCs w:val="24"/>
          <w:vertAlign w:val="superscript"/>
        </w:rPr>
        <w:t>nd</w:t>
      </w:r>
      <w:r>
        <w:rPr>
          <w:sz w:val="24"/>
          <w:szCs w:val="24"/>
        </w:rPr>
        <w:t xml:space="preserve"> day of April 2013 at Leola, South Dakota</w:t>
      </w:r>
    </w:p>
    <w:p w:rsidR="00BF4CBD" w:rsidRDefault="00BF4CBD" w:rsidP="00BF4CBD">
      <w:pPr>
        <w:spacing w:after="0"/>
        <w:rPr>
          <w:sz w:val="24"/>
          <w:szCs w:val="24"/>
        </w:rPr>
      </w:pPr>
      <w:r>
        <w:rPr>
          <w:sz w:val="24"/>
          <w:szCs w:val="24"/>
        </w:rPr>
        <w:t>ATTEST</w:t>
      </w:r>
    </w:p>
    <w:p w:rsidR="00BF4CBD" w:rsidRPr="00996D71" w:rsidRDefault="00BF4CBD" w:rsidP="00BF4CBD">
      <w:pPr>
        <w:spacing w:after="0"/>
        <w:rPr>
          <w:sz w:val="24"/>
          <w:szCs w:val="24"/>
          <w:u w:val="single"/>
        </w:rPr>
      </w:pPr>
      <w:r>
        <w:rPr>
          <w:sz w:val="24"/>
          <w:szCs w:val="24"/>
          <w:u w:val="single"/>
        </w:rPr>
        <w:t>Jennifer Guthmiller______</w:t>
      </w:r>
      <w:r>
        <w:rPr>
          <w:sz w:val="24"/>
          <w:szCs w:val="24"/>
        </w:rPr>
        <w:tab/>
      </w:r>
      <w:r>
        <w:rPr>
          <w:sz w:val="24"/>
          <w:szCs w:val="24"/>
        </w:rPr>
        <w:tab/>
      </w:r>
      <w:r>
        <w:rPr>
          <w:sz w:val="24"/>
          <w:szCs w:val="24"/>
        </w:rPr>
        <w:tab/>
      </w:r>
      <w:r>
        <w:rPr>
          <w:sz w:val="24"/>
          <w:szCs w:val="24"/>
        </w:rPr>
        <w:tab/>
      </w:r>
      <w:r>
        <w:rPr>
          <w:sz w:val="24"/>
          <w:szCs w:val="24"/>
          <w:u w:val="single"/>
        </w:rPr>
        <w:t>Jeffrey Neuharth____________________</w:t>
      </w:r>
    </w:p>
    <w:p w:rsidR="00BF4CBD" w:rsidRPr="00555246" w:rsidRDefault="00BF4CBD" w:rsidP="00BF4CBD">
      <w:pPr>
        <w:spacing w:after="0"/>
        <w:rPr>
          <w:sz w:val="24"/>
          <w:szCs w:val="24"/>
        </w:rPr>
      </w:pPr>
      <w:r>
        <w:rPr>
          <w:sz w:val="24"/>
          <w:szCs w:val="24"/>
        </w:rPr>
        <w:t>McPherson County Auditor</w:t>
      </w:r>
      <w:r>
        <w:rPr>
          <w:sz w:val="24"/>
          <w:szCs w:val="24"/>
        </w:rPr>
        <w:tab/>
      </w:r>
      <w:r>
        <w:rPr>
          <w:sz w:val="24"/>
          <w:szCs w:val="24"/>
        </w:rPr>
        <w:tab/>
      </w:r>
      <w:r>
        <w:rPr>
          <w:sz w:val="24"/>
          <w:szCs w:val="24"/>
        </w:rPr>
        <w:tab/>
      </w:r>
      <w:r>
        <w:rPr>
          <w:sz w:val="24"/>
          <w:szCs w:val="24"/>
        </w:rPr>
        <w:tab/>
        <w:t>Chairman of the Board of Commissioners</w:t>
      </w:r>
    </w:p>
    <w:p w:rsidR="00BF4CBD" w:rsidRPr="00555246" w:rsidRDefault="00BF4CBD" w:rsidP="00BF4CBD">
      <w:pPr>
        <w:spacing w:after="0"/>
        <w:rPr>
          <w:b/>
          <w:sz w:val="24"/>
          <w:szCs w:val="24"/>
          <w:u w:val="single"/>
        </w:rPr>
      </w:pPr>
    </w:p>
    <w:p w:rsidR="00BF4CBD" w:rsidRDefault="00BF4CBD" w:rsidP="00BF4CBD">
      <w:pPr>
        <w:spacing w:after="0"/>
        <w:rPr>
          <w:sz w:val="24"/>
          <w:szCs w:val="24"/>
        </w:rPr>
      </w:pPr>
      <w:r>
        <w:rPr>
          <w:sz w:val="24"/>
          <w:szCs w:val="24"/>
        </w:rPr>
        <w:t>Metzger moved for the adoption of Resolution 13-6, Feickert seconded the foregoing motion. Upon roll call vote, thereon, all voted “AYE”. Motion carried, and resolution number 13-6 was declared duly adopted.</w:t>
      </w:r>
    </w:p>
    <w:p w:rsidR="006315C8" w:rsidRDefault="006315C8"/>
    <w:sectPr w:rsidR="00631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BD"/>
    <w:rsid w:val="006315C8"/>
    <w:rsid w:val="00BF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B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B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McPherson Auditor2</dc:creator>
  <cp:lastModifiedBy>McPherson Auditor2</cp:lastModifiedBy>
  <cp:revision>1</cp:revision>
  <dcterms:created xsi:type="dcterms:W3CDTF">2017-05-16T19:39:00Z</dcterms:created>
  <dcterms:modified xsi:type="dcterms:W3CDTF">2017-05-16T19:40:00Z</dcterms:modified>
</cp:coreProperties>
</file>